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D00D" w14:textId="77777777" w:rsidR="003F639A" w:rsidRPr="003F639A" w:rsidRDefault="003F639A" w:rsidP="003F639A">
      <w:pPr>
        <w:shd w:val="clear" w:color="auto" w:fill="FFFFFF"/>
        <w:spacing w:after="0" w:line="588" w:lineRule="atLeast"/>
        <w:outlineLvl w:val="0"/>
        <w:rPr>
          <w:rFonts w:ascii="PT Serif" w:eastAsia="Times New Roman" w:hAnsi="PT Serif" w:cs="Times New Roman"/>
          <w:color w:val="666666"/>
          <w:kern w:val="36"/>
          <w:sz w:val="42"/>
          <w:szCs w:val="42"/>
          <w14:ligatures w14:val="none"/>
        </w:rPr>
      </w:pPr>
      <w:r w:rsidRPr="003F639A">
        <w:rPr>
          <w:rFonts w:ascii="PT Serif" w:eastAsia="Times New Roman" w:hAnsi="PT Serif" w:cs="Times New Roman"/>
          <w:color w:val="666666"/>
          <w:kern w:val="36"/>
          <w:sz w:val="42"/>
          <w:szCs w:val="42"/>
          <w14:ligatures w14:val="none"/>
        </w:rPr>
        <w:t>Welcome to the Wild, Wild West!</w:t>
      </w:r>
    </w:p>
    <w:p w14:paraId="7E866CD1" w14:textId="77777777" w:rsidR="003F639A" w:rsidRPr="003F639A" w:rsidRDefault="003F639A" w:rsidP="003F639A">
      <w:pPr>
        <w:shd w:val="clear" w:color="auto" w:fill="FFFFFF"/>
        <w:spacing w:after="0" w:line="240" w:lineRule="auto"/>
        <w:rPr>
          <w:rFonts w:ascii="Arial" w:eastAsia="Times New Roman" w:hAnsi="Arial" w:cs="Arial"/>
          <w:color w:val="515151"/>
          <w:kern w:val="0"/>
          <w:sz w:val="20"/>
          <w:szCs w:val="20"/>
          <w14:ligatures w14:val="none"/>
        </w:rPr>
      </w:pPr>
      <w:r w:rsidRPr="003F639A">
        <w:rPr>
          <w:rFonts w:ascii="Arial" w:eastAsia="Times New Roman" w:hAnsi="Arial" w:cs="Arial"/>
          <w:i/>
          <w:iCs/>
          <w:color w:val="515151"/>
          <w:kern w:val="0"/>
          <w:sz w:val="20"/>
          <w:szCs w:val="20"/>
          <w14:ligatures w14:val="none"/>
        </w:rPr>
        <w:t>By Mindy T. Cummings / Published December 2025</w:t>
      </w:r>
    </w:p>
    <w:p w14:paraId="060995ED" w14:textId="77777777" w:rsidR="003F639A" w:rsidRPr="003F639A" w:rsidRDefault="003F639A" w:rsidP="003F639A">
      <w:pPr>
        <w:spacing w:after="0" w:line="240" w:lineRule="auto"/>
        <w:jc w:val="center"/>
        <w:rPr>
          <w:rFonts w:ascii="Times New Roman" w:eastAsia="Times New Roman" w:hAnsi="Times New Roman" w:cs="Times New Roman"/>
          <w:color w:val="515151"/>
          <w:kern w:val="0"/>
          <w14:ligatures w14:val="none"/>
        </w:rPr>
      </w:pPr>
      <w:r w:rsidRPr="003F639A">
        <w:rPr>
          <w:rFonts w:ascii="Times New Roman" w:eastAsia="Times New Roman" w:hAnsi="Times New Roman" w:cs="Times New Roman"/>
          <w:noProof/>
          <w:color w:val="515151"/>
          <w:kern w:val="0"/>
          <w14:ligatures w14:val="none"/>
        </w:rPr>
        <w:drawing>
          <wp:inline distT="0" distB="0" distL="0" distR="0" wp14:anchorId="1E880546" wp14:editId="1573E907">
            <wp:extent cx="3143250" cy="1178719"/>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897" cy="1182336"/>
                    </a:xfrm>
                    <a:prstGeom prst="rect">
                      <a:avLst/>
                    </a:prstGeom>
                    <a:noFill/>
                    <a:ln>
                      <a:noFill/>
                    </a:ln>
                  </pic:spPr>
                </pic:pic>
              </a:graphicData>
            </a:graphic>
          </wp:inline>
        </w:drawing>
      </w:r>
    </w:p>
    <w:p w14:paraId="1D806649" w14:textId="77777777" w:rsidR="003F639A" w:rsidRPr="003F639A" w:rsidRDefault="003F639A" w:rsidP="003F639A">
      <w:pPr>
        <w:shd w:val="clear" w:color="auto" w:fill="FFFFFF"/>
        <w:spacing w:after="0" w:line="240" w:lineRule="auto"/>
        <w:rPr>
          <w:rFonts w:ascii="Arial" w:eastAsia="Times New Roman" w:hAnsi="Arial" w:cs="Arial"/>
          <w:color w:val="515151"/>
          <w:kern w:val="0"/>
          <w:sz w:val="20"/>
          <w:szCs w:val="20"/>
          <w14:ligatures w14:val="none"/>
        </w:rPr>
      </w:pPr>
      <w:r w:rsidRPr="003F639A">
        <w:rPr>
          <w:rFonts w:ascii="PT Serif" w:eastAsia="Times New Roman" w:hAnsi="PT Serif" w:cs="Arial"/>
          <w:color w:val="EF4123"/>
          <w:kern w:val="0"/>
          <w:sz w:val="40"/>
          <w:szCs w:val="40"/>
          <w14:ligatures w14:val="none"/>
        </w:rPr>
        <w:t>W</w:t>
      </w:r>
      <w:r w:rsidRPr="003F639A">
        <w:rPr>
          <w:rFonts w:ascii="Arial" w:eastAsia="Times New Roman" w:hAnsi="Arial" w:cs="Arial"/>
          <w:color w:val="515151"/>
          <w:kern w:val="0"/>
          <w:sz w:val="20"/>
          <w:szCs w:val="20"/>
          <w14:ligatures w14:val="none"/>
        </w:rPr>
        <w:t>hen you think of the Wild West, your mind might drift to an image of a cowboy with his boots, spurs, hat, and a pistol visibly on his side. What you do not picture is the person pushing a grocery cart with a shotgun slung over their shoulder. Yet, these are the AI images appearing on social media after the recent ruling in </w:t>
      </w:r>
      <w:r w:rsidRPr="003F639A">
        <w:rPr>
          <w:rFonts w:ascii="Arial" w:eastAsia="Times New Roman" w:hAnsi="Arial" w:cs="Arial"/>
          <w:i/>
          <w:iCs/>
          <w:color w:val="515151"/>
          <w:kern w:val="0"/>
          <w:sz w:val="20"/>
          <w:szCs w:val="20"/>
          <w14:ligatures w14:val="none"/>
        </w:rPr>
        <w:t>McDaniels v. State of Florida </w:t>
      </w:r>
      <w:r w:rsidRPr="003F639A">
        <w:rPr>
          <w:rFonts w:ascii="Arial" w:eastAsia="Times New Roman" w:hAnsi="Arial" w:cs="Arial"/>
          <w:color w:val="515151"/>
          <w:kern w:val="0"/>
          <w:sz w:val="20"/>
          <w:szCs w:val="20"/>
          <w14:ligatures w14:val="none"/>
        </w:rPr>
        <w:t>117688141 (Fla. 1st DCA 2025) on September 10, 2025. In this recent ruling the Court held that §790.053, Florida Statutes, that banned the open carry of firearms, is unconstitutional and violates McDaniels’ Second Amendment right to keep and bear arms. Florida now joins the 46 other states that allow some form of open carry, and people in Florida can carry a lawfully possessed firearm in plain sight or partially concealed (i.e., in a holster). Yet, this indelicate change in the law has now left some community associations across the State of Florida scrambling to understand their rights to prohibit the open carry of firearms in their communities. The ruling in </w:t>
      </w:r>
      <w:r w:rsidRPr="003F639A">
        <w:rPr>
          <w:rFonts w:ascii="Arial" w:eastAsia="Times New Roman" w:hAnsi="Arial" w:cs="Arial"/>
          <w:i/>
          <w:iCs/>
          <w:color w:val="515151"/>
          <w:kern w:val="0"/>
          <w:sz w:val="20"/>
          <w:szCs w:val="20"/>
          <w14:ligatures w14:val="none"/>
        </w:rPr>
        <w:t>McDaniels</w:t>
      </w:r>
      <w:r w:rsidRPr="003F639A">
        <w:rPr>
          <w:rFonts w:ascii="Arial" w:eastAsia="Times New Roman" w:hAnsi="Arial" w:cs="Arial"/>
          <w:color w:val="515151"/>
          <w:kern w:val="0"/>
          <w:sz w:val="20"/>
          <w:szCs w:val="20"/>
          <w14:ligatures w14:val="none"/>
        </w:rPr>
        <w:t> blurs that line; and until there is new legislation addressing this either way, this article intends to give guidance to associations for the adoption of rules related to the open carry of firearms.</w:t>
      </w:r>
    </w:p>
    <w:p w14:paraId="61E0C939" w14:textId="77777777" w:rsidR="003F639A" w:rsidRPr="003F639A" w:rsidRDefault="003F639A" w:rsidP="003F639A">
      <w:pPr>
        <w:shd w:val="clear" w:color="auto" w:fill="FFFFFF"/>
        <w:spacing w:after="0" w:line="240" w:lineRule="auto"/>
        <w:rPr>
          <w:rFonts w:ascii="Arial" w:eastAsia="Times New Roman" w:hAnsi="Arial" w:cs="Arial"/>
          <w:color w:val="515151"/>
          <w:kern w:val="0"/>
          <w:sz w:val="20"/>
          <w:szCs w:val="20"/>
          <w14:ligatures w14:val="none"/>
        </w:rPr>
      </w:pPr>
      <w:r w:rsidRPr="003F639A">
        <w:rPr>
          <w:rFonts w:ascii="Arial" w:eastAsia="Times New Roman" w:hAnsi="Arial" w:cs="Arial"/>
          <w:color w:val="515151"/>
          <w:kern w:val="0"/>
          <w:sz w:val="20"/>
          <w:szCs w:val="20"/>
          <w14:ligatures w14:val="none"/>
        </w:rPr>
        <w:t>     While the ruling in </w:t>
      </w:r>
      <w:r w:rsidRPr="003F639A">
        <w:rPr>
          <w:rFonts w:ascii="Arial" w:eastAsia="Times New Roman" w:hAnsi="Arial" w:cs="Arial"/>
          <w:i/>
          <w:iCs/>
          <w:color w:val="515151"/>
          <w:kern w:val="0"/>
          <w:sz w:val="20"/>
          <w:szCs w:val="20"/>
          <w14:ligatures w14:val="none"/>
        </w:rPr>
        <w:t>McDaniels</w:t>
      </w:r>
      <w:r w:rsidRPr="003F639A">
        <w:rPr>
          <w:rFonts w:ascii="Arial" w:eastAsia="Times New Roman" w:hAnsi="Arial" w:cs="Arial"/>
          <w:color w:val="515151"/>
          <w:kern w:val="0"/>
          <w:sz w:val="20"/>
          <w:szCs w:val="20"/>
          <w14:ligatures w14:val="none"/>
        </w:rPr>
        <w:t> made it clear that the State cannot impose an outright ban on the open carry of firearms and found §790.053, Florida Statutes, to be unconstitutional, the facts of the case did not touch upon the rights of a private property owner to prohibit the open carry of firearms on their respective property. Whether it is a Chapter 720 HOA or a Chapter 718 condominium association, Florida law recognizes that associations have broad authority to pass reasonable rules and regulations for the regulation of its common areas; and neither the recording of protective covenants in the public records nor the possible enforcement of such covenants in state courts constitutes sufficient “state action” to render a private association’s rules unconstitutional (see </w:t>
      </w:r>
      <w:r w:rsidRPr="003F639A">
        <w:rPr>
          <w:rFonts w:ascii="Arial" w:eastAsia="Times New Roman" w:hAnsi="Arial" w:cs="Arial"/>
          <w:i/>
          <w:iCs/>
          <w:color w:val="515151"/>
          <w:kern w:val="0"/>
          <w:sz w:val="20"/>
          <w:szCs w:val="20"/>
          <w14:ligatures w14:val="none"/>
        </w:rPr>
        <w:t>Hidden Harbour Estates v. Norman</w:t>
      </w:r>
      <w:r w:rsidRPr="003F639A">
        <w:rPr>
          <w:rFonts w:ascii="Arial" w:eastAsia="Times New Roman" w:hAnsi="Arial" w:cs="Arial"/>
          <w:color w:val="515151"/>
          <w:kern w:val="0"/>
          <w:sz w:val="20"/>
          <w:szCs w:val="20"/>
          <w14:ligatures w14:val="none"/>
        </w:rPr>
        <w:t>, 309 So. 2d 180 (Fla. 4th DCA 1975) and </w:t>
      </w:r>
      <w:r w:rsidRPr="003F639A">
        <w:rPr>
          <w:rFonts w:ascii="Arial" w:eastAsia="Times New Roman" w:hAnsi="Arial" w:cs="Arial"/>
          <w:i/>
          <w:iCs/>
          <w:color w:val="515151"/>
          <w:kern w:val="0"/>
          <w:sz w:val="20"/>
          <w:szCs w:val="20"/>
          <w14:ligatures w14:val="none"/>
        </w:rPr>
        <w:t>Quail Creek Property Owners Ass’n v. Hunter</w:t>
      </w:r>
      <w:r w:rsidRPr="003F639A">
        <w:rPr>
          <w:rFonts w:ascii="Arial" w:eastAsia="Times New Roman" w:hAnsi="Arial" w:cs="Arial"/>
          <w:color w:val="515151"/>
          <w:kern w:val="0"/>
          <w:sz w:val="20"/>
          <w:szCs w:val="20"/>
          <w14:ligatures w14:val="none"/>
        </w:rPr>
        <w:t>, 538 So. 2d 1288, 1289 (Fla. 2d DCA 1989)). Post-</w:t>
      </w:r>
      <w:r w:rsidRPr="003F639A">
        <w:rPr>
          <w:rFonts w:ascii="Arial" w:eastAsia="Times New Roman" w:hAnsi="Arial" w:cs="Arial"/>
          <w:i/>
          <w:iCs/>
          <w:color w:val="515151"/>
          <w:kern w:val="0"/>
          <w:sz w:val="20"/>
          <w:szCs w:val="20"/>
          <w14:ligatures w14:val="none"/>
        </w:rPr>
        <w:t>McDaniels</w:t>
      </w:r>
      <w:r w:rsidRPr="003F639A">
        <w:rPr>
          <w:rFonts w:ascii="Arial" w:eastAsia="Times New Roman" w:hAnsi="Arial" w:cs="Arial"/>
          <w:color w:val="515151"/>
          <w:kern w:val="0"/>
          <w:sz w:val="20"/>
          <w:szCs w:val="20"/>
          <w14:ligatures w14:val="none"/>
        </w:rPr>
        <w:t> an association may elect to adopt a rule that prohibits the open carry of firearms within association property or common elements. Most likely a challenge to that rule based on constitutional grounds would fail because the association’s action does not amount to “state action.” However, there is perhaps some question over whether the use of the courts to enforce such restrictions would be upheld or challenged as state action.</w:t>
      </w:r>
    </w:p>
    <w:p w14:paraId="07946D39" w14:textId="77777777" w:rsidR="003F639A" w:rsidRPr="003F639A" w:rsidRDefault="003F639A" w:rsidP="003F639A">
      <w:pPr>
        <w:shd w:val="clear" w:color="auto" w:fill="FFFFFF"/>
        <w:spacing w:after="0" w:line="240" w:lineRule="auto"/>
        <w:rPr>
          <w:rFonts w:ascii="Arial" w:eastAsia="Times New Roman" w:hAnsi="Arial" w:cs="Arial"/>
          <w:color w:val="515151"/>
          <w:kern w:val="0"/>
          <w:sz w:val="20"/>
          <w:szCs w:val="20"/>
          <w14:ligatures w14:val="none"/>
        </w:rPr>
      </w:pPr>
      <w:r w:rsidRPr="003F639A">
        <w:rPr>
          <w:rFonts w:ascii="Arial" w:eastAsia="Times New Roman" w:hAnsi="Arial" w:cs="Arial"/>
          <w:color w:val="515151"/>
          <w:kern w:val="0"/>
          <w:sz w:val="20"/>
          <w:szCs w:val="20"/>
          <w14:ligatures w14:val="none"/>
        </w:rPr>
        <w:t>     An association considering the adoption of a rule prohibiting the open carry of firearms should consider several factors when drafting their rule: 1) the classification of the areas where the open carry of firearms is prohibited (i.e., association property vs. common elements) and 2) what is the mechanism to enforce the rule. For example, a rule that prohibits the open carry of firearms in amenity areas, such as recreational areas, clubhouse, café, pool, or gym, can be easily signed; and access can be controlled at some expense and administrative burden. However, if the area is a common element and provides access to a unit owner’s private property, a condominium association may or may not be able to prohibit the open carry of firearms in that portion of the common elements that are necessary for the unit owner to access their respective unit. Enforcement for violating the rule depends on the person that breaks the rule. For a unit owner or tenant, enforcement may be suspension of their rights to use the amenity. However, for a guest or invitee, enforcement may mean you ask them to leave the property; and if they refuse to leave, then call the police and have that person removed from the property. It’s a felony to commit armed trespass (§810.08, Fla. Stat.). </w:t>
      </w:r>
    </w:p>
    <w:p w14:paraId="642ECB31" w14:textId="77777777" w:rsidR="003F639A" w:rsidRPr="003F639A" w:rsidRDefault="003F639A" w:rsidP="003F639A">
      <w:pPr>
        <w:shd w:val="clear" w:color="auto" w:fill="FFFFFF"/>
        <w:spacing w:after="0" w:line="240" w:lineRule="auto"/>
        <w:rPr>
          <w:rFonts w:ascii="Arial" w:eastAsia="Times New Roman" w:hAnsi="Arial" w:cs="Arial"/>
          <w:color w:val="515151"/>
          <w:kern w:val="0"/>
          <w:sz w:val="20"/>
          <w:szCs w:val="20"/>
          <w14:ligatures w14:val="none"/>
        </w:rPr>
      </w:pPr>
      <w:r w:rsidRPr="003F639A">
        <w:rPr>
          <w:rFonts w:ascii="Arial" w:eastAsia="Times New Roman" w:hAnsi="Arial" w:cs="Arial"/>
          <w:color w:val="515151"/>
          <w:kern w:val="0"/>
          <w:sz w:val="20"/>
          <w:szCs w:val="20"/>
          <w14:ligatures w14:val="none"/>
        </w:rPr>
        <w:t>     As an alternative to a rule, associations can also consider attempting to amend the declaration of condominium as declaration restrictions are clothed with a strong presumption of validity.</w:t>
      </w:r>
    </w:p>
    <w:p w14:paraId="72360C6F" w14:textId="77777777" w:rsidR="003F639A" w:rsidRPr="003F639A" w:rsidRDefault="003F639A" w:rsidP="003F639A">
      <w:pPr>
        <w:shd w:val="clear" w:color="auto" w:fill="FFFFFF"/>
        <w:spacing w:after="0" w:line="240" w:lineRule="auto"/>
        <w:rPr>
          <w:rFonts w:ascii="Arial" w:eastAsia="Times New Roman" w:hAnsi="Arial" w:cs="Arial"/>
          <w:color w:val="515151"/>
          <w:kern w:val="0"/>
          <w:sz w:val="20"/>
          <w:szCs w:val="20"/>
          <w14:ligatures w14:val="none"/>
        </w:rPr>
      </w:pPr>
      <w:r w:rsidRPr="003F639A">
        <w:rPr>
          <w:rFonts w:ascii="Arial" w:eastAsia="Times New Roman" w:hAnsi="Arial" w:cs="Arial"/>
          <w:color w:val="515151"/>
          <w:kern w:val="0"/>
          <w:sz w:val="20"/>
          <w:szCs w:val="20"/>
          <w14:ligatures w14:val="none"/>
        </w:rPr>
        <w:t>     Every property is unique, and it is important that associations not only engage with their property managers and counsel for assistance in the preparation and drafting of proposed rules or declaration amendments but also with their security vendors. It will be important to discuss the proposed enforcement of these rules. By instituting such rules, one might argue the association has a duty and burden to enforce such rules. The adoption of these rules may have implications for those vendors’ contracts. </w:t>
      </w:r>
    </w:p>
    <w:p w14:paraId="5940EA56" w14:textId="77777777" w:rsidR="0047165C" w:rsidRDefault="0047165C"/>
    <w:sectPr w:rsidR="0047165C" w:rsidSect="003F63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8102E"/>
    <w:multiLevelType w:val="multilevel"/>
    <w:tmpl w:val="AAB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A1E08"/>
    <w:multiLevelType w:val="multilevel"/>
    <w:tmpl w:val="C172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352928">
    <w:abstractNumId w:val="1"/>
  </w:num>
  <w:num w:numId="2" w16cid:durableId="104178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9A"/>
    <w:rsid w:val="003F639A"/>
    <w:rsid w:val="00436148"/>
    <w:rsid w:val="0047165C"/>
    <w:rsid w:val="007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ECB"/>
  <w15:chartTrackingRefBased/>
  <w15:docId w15:val="{765E1FFA-0D1D-4B90-840E-03078DBC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39A"/>
    <w:rPr>
      <w:rFonts w:eastAsiaTheme="majorEastAsia" w:cstheme="majorBidi"/>
      <w:color w:val="272727" w:themeColor="text1" w:themeTint="D8"/>
    </w:rPr>
  </w:style>
  <w:style w:type="paragraph" w:styleId="Title">
    <w:name w:val="Title"/>
    <w:basedOn w:val="Normal"/>
    <w:next w:val="Normal"/>
    <w:link w:val="TitleChar"/>
    <w:uiPriority w:val="10"/>
    <w:qFormat/>
    <w:rsid w:val="003F6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39A"/>
    <w:pPr>
      <w:spacing w:before="160"/>
      <w:jc w:val="center"/>
    </w:pPr>
    <w:rPr>
      <w:i/>
      <w:iCs/>
      <w:color w:val="404040" w:themeColor="text1" w:themeTint="BF"/>
    </w:rPr>
  </w:style>
  <w:style w:type="character" w:customStyle="1" w:styleId="QuoteChar">
    <w:name w:val="Quote Char"/>
    <w:basedOn w:val="DefaultParagraphFont"/>
    <w:link w:val="Quote"/>
    <w:uiPriority w:val="29"/>
    <w:rsid w:val="003F639A"/>
    <w:rPr>
      <w:i/>
      <w:iCs/>
      <w:color w:val="404040" w:themeColor="text1" w:themeTint="BF"/>
    </w:rPr>
  </w:style>
  <w:style w:type="paragraph" w:styleId="ListParagraph">
    <w:name w:val="List Paragraph"/>
    <w:basedOn w:val="Normal"/>
    <w:uiPriority w:val="34"/>
    <w:qFormat/>
    <w:rsid w:val="003F639A"/>
    <w:pPr>
      <w:ind w:left="720"/>
      <w:contextualSpacing/>
    </w:pPr>
  </w:style>
  <w:style w:type="character" w:styleId="IntenseEmphasis">
    <w:name w:val="Intense Emphasis"/>
    <w:basedOn w:val="DefaultParagraphFont"/>
    <w:uiPriority w:val="21"/>
    <w:qFormat/>
    <w:rsid w:val="003F639A"/>
    <w:rPr>
      <w:i/>
      <w:iCs/>
      <w:color w:val="0F4761" w:themeColor="accent1" w:themeShade="BF"/>
    </w:rPr>
  </w:style>
  <w:style w:type="paragraph" w:styleId="IntenseQuote">
    <w:name w:val="Intense Quote"/>
    <w:basedOn w:val="Normal"/>
    <w:next w:val="Normal"/>
    <w:link w:val="IntenseQuoteChar"/>
    <w:uiPriority w:val="30"/>
    <w:qFormat/>
    <w:rsid w:val="003F6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39A"/>
    <w:rPr>
      <w:i/>
      <w:iCs/>
      <w:color w:val="0F4761" w:themeColor="accent1" w:themeShade="BF"/>
    </w:rPr>
  </w:style>
  <w:style w:type="character" w:styleId="IntenseReference">
    <w:name w:val="Intense Reference"/>
    <w:basedOn w:val="DefaultParagraphFont"/>
    <w:uiPriority w:val="32"/>
    <w:qFormat/>
    <w:rsid w:val="003F6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Bachmann</dc:creator>
  <cp:keywords/>
  <dc:description/>
  <cp:lastModifiedBy>Terry Bachmann</cp:lastModifiedBy>
  <cp:revision>1</cp:revision>
  <dcterms:created xsi:type="dcterms:W3CDTF">2026-01-22T13:00:00Z</dcterms:created>
  <dcterms:modified xsi:type="dcterms:W3CDTF">2026-01-22T13:04:00Z</dcterms:modified>
</cp:coreProperties>
</file>